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580C6F04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A3064B">
        <w:rPr>
          <w:rFonts w:asciiTheme="majorHAnsi" w:hAnsiTheme="majorHAnsi" w:cstheme="majorHAnsi"/>
          <w:bCs/>
          <w:sz w:val="20"/>
          <w:szCs w:val="20"/>
        </w:rPr>
        <w:t>17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2C24760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592A09" w:rsidRPr="00592A09">
        <w:rPr>
          <w:rFonts w:ascii="Cambria" w:hAnsi="Cambria"/>
          <w:b/>
          <w:bCs/>
          <w:lang w:bidi="pl-PL"/>
        </w:rPr>
        <w:t xml:space="preserve">Rozbudowa i przebudowa budynku Szkoły Podstawowej </w:t>
      </w:r>
      <w:r w:rsidR="00592A09">
        <w:rPr>
          <w:rFonts w:ascii="Cambria" w:hAnsi="Cambria"/>
          <w:b/>
          <w:bCs/>
          <w:lang w:bidi="pl-PL"/>
        </w:rPr>
        <w:br/>
      </w:r>
      <w:r w:rsidR="00592A09" w:rsidRPr="00592A09">
        <w:rPr>
          <w:rFonts w:ascii="Cambria" w:hAnsi="Cambria"/>
          <w:b/>
          <w:bCs/>
          <w:lang w:bidi="pl-PL"/>
        </w:rPr>
        <w:t>o urządzenie dźwigowe – winda i pochylnia dla osób niepełnosprawnych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C5D0B6A" w14:textId="77777777" w:rsidR="006D6B0A" w:rsidRPr="001A1359" w:rsidRDefault="006D6B0A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6D6B0A">
        <w:trPr>
          <w:trHeight w:hRule="exact" w:val="454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61A51A2" w14:textId="0B038CF1" w:rsidR="000C793E" w:rsidRPr="000C793E" w:rsidRDefault="00497B16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6D6B0A">
        <w:trPr>
          <w:trHeight w:hRule="exact" w:val="454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592A09" w:rsidRPr="000C793E" w14:paraId="66B8C8F4" w14:textId="77777777" w:rsidTr="006D6B0A">
        <w:trPr>
          <w:trHeight w:hRule="exact" w:val="454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6D6B0A">
        <w:trPr>
          <w:trHeight w:hRule="exact" w:val="454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9413A6">
        <w:trPr>
          <w:trHeight w:val="370"/>
        </w:trPr>
        <w:tc>
          <w:tcPr>
            <w:tcW w:w="9301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2E94B65D" w:rsidR="007D7B34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A24C802" w14:textId="77777777" w:rsidR="006D6B0A" w:rsidRPr="001A1359" w:rsidRDefault="006D6B0A" w:rsidP="007D7B34">
      <w:pPr>
        <w:spacing w:line="276" w:lineRule="auto"/>
        <w:jc w:val="both"/>
        <w:rPr>
          <w:rFonts w:ascii="Cambria" w:hAnsi="Cambria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BE0E" w14:textId="77777777" w:rsidR="00016D65" w:rsidRDefault="00016D65" w:rsidP="00AF0EDA">
      <w:r>
        <w:separator/>
      </w:r>
    </w:p>
  </w:endnote>
  <w:endnote w:type="continuationSeparator" w:id="0">
    <w:p w14:paraId="7F252A4A" w14:textId="77777777" w:rsidR="00016D65" w:rsidRDefault="00016D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6C2BA" w14:textId="77777777" w:rsidR="00016D65" w:rsidRDefault="00016D65" w:rsidP="00AF0EDA">
      <w:r>
        <w:separator/>
      </w:r>
    </w:p>
  </w:footnote>
  <w:footnote w:type="continuationSeparator" w:id="0">
    <w:p w14:paraId="69979641" w14:textId="77777777" w:rsidR="00016D65" w:rsidRDefault="00016D65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xu15mxmvg15iHQE/fQ52oXMFgRS/q3FoccitdZX0aEpA828zp8N5GT3WQ6a4Cx4wv42gTwfGQal2T0z6MYrQ3A==" w:salt="jjz01jx2zFNUP+23uVr3E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D65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653C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D6B0A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2022-12-15T09:58:00Z</dcterms:created>
  <dcterms:modified xsi:type="dcterms:W3CDTF">2022-12-15T09:58:00Z</dcterms:modified>
</cp:coreProperties>
</file>